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94</w:t>
      </w:r>
    </w:p>
    <w:p>
      <w:r>
        <w:t>Bundesgericht (BGE), 1998-04-03, DE</w:t>
      </w:r>
    </w:p>
    <w:p>
      <w:r>
        <w:rPr>
          <w:b/>
        </w:rPr>
        <w:t xml:space="preserve">Quelle: </w:t>
      </w:r>
      <w:r>
        <w:t>https://mcp.opencaselaw.ch/entscheid/bge_124 IV 94</w:t>
      </w:r>
    </w:p>
    <w:p>
      <w:r>
        <w:t>FR: ATF 124 IV 94</w:t>
      </w:r>
    </w:p>
    <w:p>
      <w:r>
        <w:t>IT: DTF 124 IV 94</w:t>
      </w:r>
    </w:p>
    <w:p>
      <w:pPr>
        <w:pStyle w:val="Heading2"/>
      </w:pPr>
      <w:r>
        <w:t>Regeste</w:t>
      </w:r>
    </w:p>
    <w:p>
      <w:r>
        <w:t>Regeste Art. 268 ff. BStP; Nichtigkeitsbeschwerde, rechtliches Interesse an der Aufhebung des angefochtenen Entscheides. Die Nichtigkeitsbeschwerde ist unzulässig, wenn sich bei ihrer Gutheissung am kantonalen Entscheid im Ergebnis nichts ändern würde.</w:t>
      </w:r>
    </w:p>
    <w:p>
      <w:pPr>
        <w:pStyle w:val="Heading2"/>
      </w:pPr>
      <w:r>
        <w:t>Erwägungen</w:t>
      </w:r>
    </w:p>
    <w:p>
      <w:r>
        <w:rPr>
          <w:b/>
        </w:rPr>
        <w:t>E. 1</w:t>
      </w:r>
    </w:p>
    <w:p>
      <w:r>
        <w:t>a) Die Nichtigkeitsbeschwerde ist nur zulässig, wenn der Beschwerdeführer durch den angefochtenen Entscheid beschwert ist und ein rechtliches Interesse an dessen Aufhebung hat ( BGE 119 IV 44 E. 1a; BGE 101 IV 324 E. 1, je mit Hinweisen). b) Die Beschwerdeführerin macht geltend, die Vorinstanz habe zu Unrecht einen Teil des angeklagten Konsums von Heroin und Kokain als verjährt erachtet. Die Konsumhandlungen stellten eine verjährungsrechtliche Einheit dar, bei der für sämtliche Einzelhandlungen die Verjährung erst mit dem letzten Teilakt zu laufen beginne. Da die vollumfängliche Schuldigsprechung in diesem Anklagepunkt im Gesamtzusammenhang auf das Strafmass keinen Einfluss habe, stellt die Beschwerdeführerin in bezug auf die ausgefällte Sanktion jedoch ausdrücklich keinen Antrag auf Aufhebung des vorinstanzlichen Entscheids. Die Beschwerdeführerin bemerkt, es gehe ihr einzig darum, für die aufgeworfene verjährungsrechtliche Frage einen höchstrichterlichen Grundsatzentscheid zu erhalten. c) Nach Art. 277bis Abs. 1 BStP darf der Kassationshof nicht über die Anträge des Beschwerdeführers hinausgehen. Der Kassationshof darf hier somit den angefochtenen Entscheid in bezug auf die Sanktion nicht aufheben, da die Beschwerdeführerin ausdrücklich auf einen entsprechenden Antrag verzichtet hat. Auch bei Gutheissung BGE 124 IV 94 S. 96 der Beschwerde bliebe es daher bei der Strafe von 12 Monaten Gefängnis unter anderem wegen Übertretung des Betäubungsmittelgesetzes nach Art. 19a Ziff. 1 BetmG . Der bundesgerichtliche Entscheid hätte im Ergebnis keine Auswirkungen. Bei dieser Sachlage hat die Beschwerdeführerin kein schützenswertes Interesse an der Behandlung der Beschwerde. Der Beschwerdeführerin geht es - wie sie selber einräumt - lediglich um die abstrakte Beantwortung einer Rechtsfrage. Dazu kann das Bundesgericht jedoch nicht angerufen werden. Auf die Beschwerde wird deshalb nicht eingetreten.</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